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C706E" w:rsidRDefault="006544C4" w:rsidP="00DC706E">
      <w:pPr>
        <w:jc w:val="center"/>
        <w:rPr>
          <w:lang w:val="fr-FR"/>
        </w:rPr>
      </w:pPr>
      <w:bookmarkStart w:id="0" w:name="_GoBack"/>
      <w:bookmarkEnd w:id="0"/>
    </w:p>
    <w:p w:rsidR="0094178F" w:rsidRPr="00DC706E" w:rsidRDefault="0094178F" w:rsidP="00DC706E">
      <w:pPr>
        <w:jc w:val="center"/>
        <w:rPr>
          <w:sz w:val="4"/>
          <w:szCs w:val="4"/>
          <w:lang w:val="fr-FR"/>
        </w:rPr>
      </w:pPr>
    </w:p>
    <w:p w:rsidR="006544C4" w:rsidRPr="00DC706E" w:rsidRDefault="00E30D31" w:rsidP="00DC706E">
      <w:pPr>
        <w:pStyle w:val="DecHTitle"/>
        <w:rPr>
          <w:lang w:val="fr-FR"/>
        </w:rPr>
      </w:pPr>
      <w:r w:rsidRPr="00DC706E">
        <w:rPr>
          <w:szCs w:val="24"/>
          <w:lang w:val="fr-FR"/>
        </w:rPr>
        <w:t>PREMIÈRE SECTION</w:t>
      </w:r>
    </w:p>
    <w:p w:rsidR="006544C4" w:rsidRPr="00DC706E" w:rsidRDefault="006544C4" w:rsidP="00DC706E">
      <w:pPr>
        <w:pStyle w:val="DecHTitle"/>
        <w:rPr>
          <w:caps/>
          <w:sz w:val="32"/>
          <w:lang w:val="fr-FR"/>
        </w:rPr>
      </w:pPr>
      <w:r w:rsidRPr="00DC706E">
        <w:rPr>
          <w:lang w:val="fr-FR"/>
        </w:rPr>
        <w:t>DÉCISION</w:t>
      </w:r>
    </w:p>
    <w:p w:rsidR="006544C4" w:rsidRPr="00DC706E" w:rsidRDefault="00E30D31" w:rsidP="00DC706E">
      <w:pPr>
        <w:pStyle w:val="ECHRTitleCentre2"/>
        <w:rPr>
          <w:lang w:val="fr-FR"/>
        </w:rPr>
      </w:pPr>
      <w:r w:rsidRPr="00DC706E">
        <w:rPr>
          <w:lang w:val="fr-FR"/>
        </w:rPr>
        <w:t>Requête n</w:t>
      </w:r>
      <w:r w:rsidRPr="00DC706E">
        <w:rPr>
          <w:vertAlign w:val="superscript"/>
          <w:lang w:val="fr-FR"/>
        </w:rPr>
        <w:t>o</w:t>
      </w:r>
      <w:r w:rsidR="006544C4" w:rsidRPr="00DC706E">
        <w:rPr>
          <w:lang w:val="fr-FR"/>
        </w:rPr>
        <w:t xml:space="preserve"> </w:t>
      </w:r>
      <w:r w:rsidRPr="00DC706E">
        <w:rPr>
          <w:lang w:val="fr-FR"/>
        </w:rPr>
        <w:t>25172/10</w:t>
      </w:r>
      <w:r w:rsidR="006544C4" w:rsidRPr="00DC706E">
        <w:rPr>
          <w:lang w:val="fr-FR"/>
        </w:rPr>
        <w:br/>
      </w:r>
      <w:r w:rsidRPr="00DC706E">
        <w:rPr>
          <w:lang w:val="fr-FR"/>
        </w:rPr>
        <w:t>Franco MARIANI</w:t>
      </w:r>
      <w:r w:rsidRPr="00DC706E">
        <w:rPr>
          <w:lang w:val="fr-FR"/>
        </w:rPr>
        <w:br/>
      </w:r>
      <w:r w:rsidR="006544C4" w:rsidRPr="00DC706E">
        <w:rPr>
          <w:lang w:val="fr-FR"/>
        </w:rPr>
        <w:t xml:space="preserve">contre </w:t>
      </w:r>
      <w:r w:rsidRPr="00DC706E">
        <w:rPr>
          <w:lang w:val="fr-FR"/>
        </w:rPr>
        <w:t>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Italie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La Cour européenne des droits de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homme (première section), siégeant le 28 mars 2017 en un comité composé de :</w:t>
      </w:r>
    </w:p>
    <w:p w:rsidR="00E30D31" w:rsidRPr="00DC706E" w:rsidRDefault="002C5D1F" w:rsidP="00DC706E">
      <w:pPr>
        <w:pStyle w:val="ECHRDecisionBody"/>
        <w:rPr>
          <w:lang w:val="fr-FR"/>
        </w:rPr>
      </w:pPr>
      <w:r w:rsidRPr="00DC706E">
        <w:rPr>
          <w:lang w:val="fr-FR"/>
        </w:rPr>
        <w:tab/>
        <w:t xml:space="preserve">Kristina </w:t>
      </w:r>
      <w:proofErr w:type="spellStart"/>
      <w:r w:rsidRPr="00DC706E">
        <w:rPr>
          <w:lang w:val="fr-FR"/>
        </w:rPr>
        <w:t>Pardalos</w:t>
      </w:r>
      <w:proofErr w:type="spellEnd"/>
      <w:r w:rsidRPr="00DC706E">
        <w:rPr>
          <w:lang w:val="fr-FR"/>
        </w:rPr>
        <w:t>,</w:t>
      </w:r>
      <w:r w:rsidRPr="00DC706E">
        <w:rPr>
          <w:i/>
          <w:lang w:val="fr-FR"/>
        </w:rPr>
        <w:t xml:space="preserve"> présidente,</w:t>
      </w:r>
      <w:r w:rsidRPr="00DC706E">
        <w:rPr>
          <w:i/>
          <w:lang w:val="fr-FR"/>
        </w:rPr>
        <w:br/>
      </w:r>
      <w:r w:rsidRPr="00DC706E">
        <w:rPr>
          <w:lang w:val="fr-FR"/>
        </w:rPr>
        <w:tab/>
        <w:t xml:space="preserve">Robert </w:t>
      </w:r>
      <w:proofErr w:type="spellStart"/>
      <w:r w:rsidRPr="00DC706E">
        <w:rPr>
          <w:lang w:val="fr-FR"/>
        </w:rPr>
        <w:t>Spano</w:t>
      </w:r>
      <w:proofErr w:type="spellEnd"/>
      <w:r w:rsidRPr="00DC706E">
        <w:rPr>
          <w:lang w:val="fr-FR"/>
        </w:rPr>
        <w:t>,</w:t>
      </w:r>
      <w:r w:rsidRPr="00DC706E">
        <w:rPr>
          <w:i/>
          <w:lang w:val="fr-FR"/>
        </w:rPr>
        <w:br/>
      </w:r>
      <w:r w:rsidRPr="00DC706E">
        <w:rPr>
          <w:lang w:val="fr-FR"/>
        </w:rPr>
        <w:tab/>
      </w:r>
      <w:proofErr w:type="spellStart"/>
      <w:r w:rsidRPr="00DC706E">
        <w:rPr>
          <w:lang w:val="fr-FR"/>
        </w:rPr>
        <w:t>Pauliine</w:t>
      </w:r>
      <w:proofErr w:type="spellEnd"/>
      <w:r w:rsidRPr="00DC706E">
        <w:rPr>
          <w:lang w:val="fr-FR"/>
        </w:rPr>
        <w:t xml:space="preserve"> </w:t>
      </w:r>
      <w:proofErr w:type="spellStart"/>
      <w:r w:rsidRPr="00DC706E">
        <w:rPr>
          <w:lang w:val="fr-FR"/>
        </w:rPr>
        <w:t>Koskelo</w:t>
      </w:r>
      <w:proofErr w:type="spellEnd"/>
      <w:r w:rsidRPr="00DC706E">
        <w:rPr>
          <w:lang w:val="fr-FR"/>
        </w:rPr>
        <w:t>,</w:t>
      </w:r>
      <w:r w:rsidRPr="00DC706E">
        <w:rPr>
          <w:i/>
          <w:lang w:val="fr-FR"/>
        </w:rPr>
        <w:t xml:space="preserve"> juges,</w:t>
      </w:r>
    </w:p>
    <w:p w:rsidR="00E30D31" w:rsidRPr="00DC706E" w:rsidRDefault="00E30D31" w:rsidP="00DC706E">
      <w:pPr>
        <w:pStyle w:val="ECHRDecisionBody"/>
        <w:rPr>
          <w:lang w:val="fr-FR"/>
        </w:rPr>
      </w:pPr>
      <w:proofErr w:type="gramStart"/>
      <w:r w:rsidRPr="00DC706E">
        <w:rPr>
          <w:lang w:val="fr-FR"/>
        </w:rPr>
        <w:t>et</w:t>
      </w:r>
      <w:proofErr w:type="gramEnd"/>
      <w:r w:rsidRPr="00DC706E">
        <w:rPr>
          <w:lang w:val="fr-FR"/>
        </w:rPr>
        <w:t xml:space="preserve"> de Renata Degener, </w:t>
      </w:r>
      <w:r w:rsidR="00987014" w:rsidRPr="00DC706E">
        <w:rPr>
          <w:lang w:val="fr-FR"/>
        </w:rPr>
        <w:t>g</w:t>
      </w:r>
      <w:r w:rsidRPr="00DC706E">
        <w:rPr>
          <w:i/>
          <w:lang w:val="fr-FR"/>
        </w:rPr>
        <w:t>reffière adjointe</w:t>
      </w:r>
      <w:r w:rsidRPr="00DC706E">
        <w:rPr>
          <w:i/>
          <w:iCs/>
          <w:lang w:val="fr-FR"/>
        </w:rPr>
        <w:t xml:space="preserve"> d</w:t>
      </w:r>
      <w:r w:rsidRPr="00DC706E">
        <w:rPr>
          <w:i/>
          <w:lang w:val="fr-FR"/>
        </w:rPr>
        <w:t>e section,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Vu la requête susmentionnée introduite le 28 avril 2010,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Après en avoir délibéré, rend la décision suivante :</w:t>
      </w:r>
    </w:p>
    <w:p w:rsidR="00E30D31" w:rsidRPr="00DC706E" w:rsidRDefault="00E30D31" w:rsidP="00DC706E">
      <w:pPr>
        <w:pStyle w:val="ECHRTitle1"/>
        <w:rPr>
          <w:lang w:val="fr-FR"/>
        </w:rPr>
      </w:pPr>
      <w:r w:rsidRPr="00DC706E">
        <w:rPr>
          <w:lang w:val="fr-FR"/>
        </w:rPr>
        <w:t>FAITS ET PROCÉDURE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 xml:space="preserve">Le requérant, M. Franco Mariani, est un ressortissant italien né en 1926 et résidant à </w:t>
      </w:r>
      <w:proofErr w:type="spellStart"/>
      <w:r w:rsidRPr="00DC706E">
        <w:rPr>
          <w:lang w:val="fr-FR"/>
        </w:rPr>
        <w:t>Usmate</w:t>
      </w:r>
      <w:proofErr w:type="spellEnd"/>
      <w:r w:rsidRPr="00DC706E">
        <w:rPr>
          <w:lang w:val="fr-FR"/>
        </w:rPr>
        <w:t xml:space="preserve"> Velate.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Le gouvernement italien (« le Gouvernement ») a été représenté par son agent, M</w:t>
      </w:r>
      <w:r w:rsidRPr="00DC706E">
        <w:rPr>
          <w:vertAlign w:val="superscript"/>
          <w:lang w:val="fr-FR"/>
        </w:rPr>
        <w:t xml:space="preserve">me </w:t>
      </w:r>
      <w:r w:rsidRPr="00DC706E">
        <w:rPr>
          <w:lang w:val="fr-FR"/>
        </w:rPr>
        <w:t xml:space="preserve">E. Spatafora et son </w:t>
      </w:r>
      <w:proofErr w:type="spellStart"/>
      <w:r w:rsidRPr="00DC706E">
        <w:rPr>
          <w:lang w:val="fr-FR"/>
        </w:rPr>
        <w:t>coagent</w:t>
      </w:r>
      <w:proofErr w:type="spellEnd"/>
      <w:r w:rsidRPr="00DC706E">
        <w:rPr>
          <w:lang w:val="fr-FR"/>
        </w:rPr>
        <w:t>, M</w:t>
      </w:r>
      <w:r w:rsidRPr="00DC706E">
        <w:rPr>
          <w:vertAlign w:val="superscript"/>
          <w:lang w:val="fr-FR"/>
        </w:rPr>
        <w:t>me</w:t>
      </w:r>
      <w:r w:rsidRPr="00DC706E">
        <w:rPr>
          <w:lang w:val="fr-FR"/>
        </w:rPr>
        <w:t xml:space="preserve"> P. Accardo.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Invoquant les articles 6 et 13 de la Convention, le requérant se plaignait de la non-exécution du décret du ministère de la Défense n</w:t>
      </w:r>
      <w:r w:rsidRPr="00DC706E">
        <w:rPr>
          <w:vertAlign w:val="superscript"/>
          <w:lang w:val="fr-FR"/>
        </w:rPr>
        <w:t>o</w:t>
      </w:r>
      <w:r w:rsidRPr="00DC706E">
        <w:rPr>
          <w:lang w:val="fr-FR"/>
        </w:rPr>
        <w:t xml:space="preserve"> 524 de 2008 qui reconnait au requérant le droit à obtenir une pension d</w:t>
      </w:r>
      <w:r w:rsidR="00DC706E" w:rsidRPr="00DC706E">
        <w:rPr>
          <w:lang w:val="fr-FR"/>
        </w:rPr>
        <w:t>’</w:t>
      </w:r>
      <w:r w:rsidR="004E0BF8" w:rsidRPr="00DC706E">
        <w:rPr>
          <w:lang w:val="fr-FR"/>
        </w:rPr>
        <w:t>invalidité (« </w:t>
      </w:r>
      <w:proofErr w:type="spellStart"/>
      <w:r w:rsidRPr="00DC706E">
        <w:rPr>
          <w:i/>
          <w:lang w:val="fr-FR"/>
        </w:rPr>
        <w:t>pensione</w:t>
      </w:r>
      <w:proofErr w:type="spellEnd"/>
      <w:r w:rsidRPr="00DC706E">
        <w:rPr>
          <w:i/>
          <w:lang w:val="fr-FR"/>
        </w:rPr>
        <w:t xml:space="preserve"> </w:t>
      </w:r>
      <w:proofErr w:type="spellStart"/>
      <w:r w:rsidRPr="00DC706E">
        <w:rPr>
          <w:i/>
          <w:lang w:val="fr-FR"/>
        </w:rPr>
        <w:t>privilegiata</w:t>
      </w:r>
      <w:proofErr w:type="spellEnd"/>
      <w:r w:rsidR="004E0BF8" w:rsidRPr="00DC706E">
        <w:rPr>
          <w:i/>
          <w:lang w:val="fr-FR"/>
        </w:rPr>
        <w:t> </w:t>
      </w:r>
      <w:r w:rsidRPr="00DC706E">
        <w:rPr>
          <w:lang w:val="fr-FR"/>
        </w:rPr>
        <w:t>»).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Après avoir requalifié les griefs soulevés par le requérant sous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angle de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article 1 du Protocole n</w:t>
      </w:r>
      <w:r w:rsidRPr="00DC706E">
        <w:rPr>
          <w:vertAlign w:val="superscript"/>
          <w:lang w:val="fr-FR"/>
        </w:rPr>
        <w:t>o</w:t>
      </w:r>
      <w:r w:rsidRPr="00DC706E">
        <w:rPr>
          <w:lang w:val="fr-FR"/>
        </w:rPr>
        <w:t xml:space="preserve"> 1, la requête a été communiquée au gouvernement qui a transmis ses observations sur la recevabilité et le bien-fondé de ceux</w:t>
      </w:r>
      <w:r w:rsidR="00987014" w:rsidRPr="00DC706E">
        <w:rPr>
          <w:lang w:val="fr-FR"/>
        </w:rPr>
        <w:noBreakHyphen/>
      </w:r>
      <w:r w:rsidRPr="00DC706E">
        <w:rPr>
          <w:lang w:val="fr-FR"/>
        </w:rPr>
        <w:t xml:space="preserve">ci. Ces observations ont été adressées au requérant qui a été invité à présenter les siennes. </w:t>
      </w:r>
      <w:r w:rsidRPr="00DC706E">
        <w:rPr>
          <w:szCs w:val="24"/>
          <w:lang w:val="fr-FR"/>
        </w:rPr>
        <w:t>La lettre du greffe est demeurée sans réponse.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Par une lettre recommandée avec accusé de réception du 24 octobre 2016, sur le fondement de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article 37 § 1 a) de la Convention, la Cour a attiré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 xml:space="preserve">attention du requérant sur le fait que le délai qui lui était </w:t>
      </w:r>
      <w:r w:rsidRPr="00DC706E">
        <w:rPr>
          <w:lang w:val="fr-FR"/>
        </w:rPr>
        <w:lastRenderedPageBreak/>
        <w:t>imparti pour la présentation de ses observations était échu depuis le 1</w:t>
      </w:r>
      <w:r w:rsidRPr="00DC706E">
        <w:rPr>
          <w:vertAlign w:val="superscript"/>
          <w:lang w:val="fr-FR"/>
        </w:rPr>
        <w:t>er</w:t>
      </w:r>
      <w:r w:rsidRPr="00DC706E">
        <w:rPr>
          <w:lang w:val="fr-FR"/>
        </w:rPr>
        <w:t> septembre 2016 et qu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il n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en avait pas sollicité la prolongation. Elle a en outre précisé qu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aux termes de ce même article, elle pouvait rayer une requête du rôle lorsque, comme en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espèce, les circonstances donnent à penser que le requérant n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entend pas maintenir celle-ci. La lettre est bien parvenue au requérant qui n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y a pas répondu.</w:t>
      </w:r>
    </w:p>
    <w:p w:rsidR="00E30D31" w:rsidRPr="00DC706E" w:rsidRDefault="00E30D31" w:rsidP="00DC706E">
      <w:pPr>
        <w:pStyle w:val="ECHRTitle1"/>
        <w:rPr>
          <w:lang w:val="fr-FR"/>
        </w:rPr>
      </w:pPr>
      <w:r w:rsidRPr="00DC706E">
        <w:rPr>
          <w:lang w:val="fr-FR"/>
        </w:rPr>
        <w:t>EN DROIT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À la lumière de ce qui précède, la Cour conclut que le requérant n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entend plus maintenir sa requête (article 37 § 1 a) de la Convention). En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absence de circonstances particulières touchant au respect des droits garantis par la Convention ou ses Protocoles, la Cour considère qu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il ne se justifie plus de poursuivre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examen de la requête, au sens de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 xml:space="preserve">article 37 § 1 </w:t>
      </w:r>
      <w:r w:rsidRPr="00DC706E">
        <w:rPr>
          <w:i/>
          <w:lang w:val="fr-FR"/>
        </w:rPr>
        <w:t>in fine</w:t>
      </w:r>
      <w:r w:rsidRPr="00DC706E">
        <w:rPr>
          <w:lang w:val="fr-FR"/>
        </w:rPr>
        <w:t xml:space="preserve"> de la Convention.</w:t>
      </w:r>
    </w:p>
    <w:p w:rsidR="00E30D31" w:rsidRPr="00DC706E" w:rsidRDefault="00E30D31" w:rsidP="00DC706E">
      <w:pPr>
        <w:pStyle w:val="ECHRPara"/>
        <w:rPr>
          <w:lang w:val="fr-FR"/>
        </w:rPr>
      </w:pPr>
      <w:r w:rsidRPr="00DC706E">
        <w:rPr>
          <w:lang w:val="fr-FR"/>
        </w:rPr>
        <w:t>Il y a donc lieu de rayer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affaire du rôle.</w:t>
      </w:r>
    </w:p>
    <w:p w:rsidR="00E30D31" w:rsidRPr="00DC706E" w:rsidRDefault="00E30D31" w:rsidP="00DC706E">
      <w:pPr>
        <w:pStyle w:val="JuParaLast"/>
        <w:keepNext w:val="0"/>
        <w:keepLines w:val="0"/>
        <w:rPr>
          <w:i/>
          <w:lang w:val="fr-FR"/>
        </w:rPr>
      </w:pPr>
      <w:r w:rsidRPr="00DC706E">
        <w:rPr>
          <w:lang w:val="fr-FR"/>
        </w:rPr>
        <w:t>Par ces motifs, la Cour,</w:t>
      </w:r>
      <w:r w:rsidRPr="00DC706E">
        <w:rPr>
          <w:color w:val="000000"/>
          <w:lang w:val="fr-FR"/>
        </w:rPr>
        <w:t xml:space="preserve"> </w:t>
      </w:r>
      <w:r w:rsidRPr="00DC706E">
        <w:rPr>
          <w:lang w:val="fr-FR"/>
        </w:rPr>
        <w:t>à l</w:t>
      </w:r>
      <w:r w:rsidR="00DC706E" w:rsidRPr="00DC706E">
        <w:rPr>
          <w:lang w:val="fr-FR"/>
        </w:rPr>
        <w:t>’</w:t>
      </w:r>
      <w:r w:rsidRPr="00DC706E">
        <w:rPr>
          <w:lang w:val="fr-FR"/>
        </w:rPr>
        <w:t>unanimité,</w:t>
      </w:r>
    </w:p>
    <w:p w:rsidR="00E30D31" w:rsidRPr="00DC706E" w:rsidRDefault="00E30D31" w:rsidP="00DC706E">
      <w:pPr>
        <w:pStyle w:val="DecList"/>
        <w:rPr>
          <w:lang w:val="fr-FR"/>
        </w:rPr>
      </w:pPr>
      <w:r w:rsidRPr="00DC706E">
        <w:rPr>
          <w:i/>
          <w:lang w:val="fr-FR"/>
        </w:rPr>
        <w:t>Décide</w:t>
      </w:r>
      <w:r w:rsidRPr="00DC706E">
        <w:rPr>
          <w:lang w:val="fr-FR"/>
        </w:rPr>
        <w:t xml:space="preserve"> de rayer la requête du rôle.</w:t>
      </w:r>
    </w:p>
    <w:p w:rsidR="006544C4" w:rsidRPr="00DC706E" w:rsidRDefault="006544C4" w:rsidP="00DC706E">
      <w:pPr>
        <w:pStyle w:val="ECHRPara"/>
        <w:rPr>
          <w:sz w:val="2"/>
          <w:szCs w:val="2"/>
          <w:lang w:val="fr-FR" w:eastAsia="en-GB"/>
        </w:rPr>
      </w:pPr>
    </w:p>
    <w:p w:rsidR="00050A32" w:rsidRPr="00DC706E" w:rsidRDefault="00F40988" w:rsidP="00DC706E">
      <w:pPr>
        <w:pStyle w:val="JuParaLast"/>
        <w:rPr>
          <w:lang w:val="fr-FR"/>
        </w:rPr>
      </w:pPr>
      <w:r w:rsidRPr="00DC706E">
        <w:rPr>
          <w:szCs w:val="24"/>
          <w:lang w:val="fr-FR"/>
        </w:rPr>
        <w:t xml:space="preserve">Fait en français puis communiqué par écrit le </w:t>
      </w:r>
      <w:r w:rsidR="00E30D31" w:rsidRPr="00DC706E">
        <w:rPr>
          <w:szCs w:val="24"/>
          <w:lang w:val="fr-FR"/>
        </w:rPr>
        <w:t>20 avril 2017</w:t>
      </w:r>
      <w:r w:rsidRPr="00DC706E">
        <w:rPr>
          <w:lang w:val="fr-FR"/>
        </w:rPr>
        <w:t>.</w:t>
      </w:r>
    </w:p>
    <w:p w:rsidR="0035621E" w:rsidRPr="00DC706E" w:rsidRDefault="00DC706E" w:rsidP="00DC706E">
      <w:pPr>
        <w:pStyle w:val="JuSigned"/>
        <w:ind w:right="-155"/>
        <w:rPr>
          <w:lang w:val="fr-FR"/>
        </w:rPr>
      </w:pPr>
      <w:r w:rsidRPr="00DC706E">
        <w:rPr>
          <w:lang w:val="fr-FR"/>
        </w:rPr>
        <w:tab/>
      </w:r>
      <w:r w:rsidR="001E60D0" w:rsidRPr="00DC706E">
        <w:rPr>
          <w:lang w:val="fr-FR"/>
        </w:rPr>
        <w:t xml:space="preserve">Renata </w:t>
      </w:r>
      <w:proofErr w:type="spellStart"/>
      <w:r w:rsidR="001E60D0" w:rsidRPr="00DC706E">
        <w:rPr>
          <w:lang w:val="fr-FR"/>
        </w:rPr>
        <w:t>Degener</w:t>
      </w:r>
      <w:proofErr w:type="spellEnd"/>
      <w:r w:rsidR="001E60D0" w:rsidRPr="00DC706E">
        <w:rPr>
          <w:lang w:val="fr-FR"/>
        </w:rPr>
        <w:t xml:space="preserve"> </w:t>
      </w:r>
      <w:r w:rsidR="001E60D0" w:rsidRPr="00DC706E">
        <w:rPr>
          <w:lang w:val="fr-FR"/>
        </w:rPr>
        <w:tab/>
        <w:t xml:space="preserve">Kristina </w:t>
      </w:r>
      <w:proofErr w:type="spellStart"/>
      <w:r w:rsidR="001E60D0" w:rsidRPr="00DC706E">
        <w:rPr>
          <w:lang w:val="fr-FR"/>
        </w:rPr>
        <w:t>Pardalos</w:t>
      </w:r>
      <w:proofErr w:type="spellEnd"/>
    </w:p>
    <w:p w:rsidR="00234E8A" w:rsidRPr="00DC706E" w:rsidRDefault="0035621E" w:rsidP="00DC706E">
      <w:pPr>
        <w:pStyle w:val="JuSigned"/>
        <w:contextualSpacing/>
        <w:rPr>
          <w:lang w:val="fr-FR"/>
        </w:rPr>
      </w:pPr>
      <w:r w:rsidRPr="00DC706E">
        <w:rPr>
          <w:iCs/>
          <w:lang w:val="fr-FR"/>
        </w:rPr>
        <w:tab/>
      </w:r>
      <w:r w:rsidR="00E30D31" w:rsidRPr="00DC706E">
        <w:rPr>
          <w:lang w:val="fr-FR"/>
        </w:rPr>
        <w:t>Greffière adjointe</w:t>
      </w:r>
      <w:r w:rsidR="0091478F" w:rsidRPr="00DC706E">
        <w:rPr>
          <w:lang w:val="fr-FR"/>
        </w:rPr>
        <w:tab/>
      </w:r>
      <w:r w:rsidR="00E30D31" w:rsidRPr="00DC706E">
        <w:rPr>
          <w:lang w:val="fr-FR"/>
        </w:rPr>
        <w:t>Présidente</w:t>
      </w:r>
    </w:p>
    <w:sectPr w:rsidR="00234E8A" w:rsidRPr="00DC706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34" w:rsidRPr="007A6280" w:rsidRDefault="000B6434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0B6434" w:rsidRPr="007A6280" w:rsidRDefault="000B643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1" w:rsidRPr="00150BFA" w:rsidRDefault="00E30D3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644F318" wp14:editId="3E2EB13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B643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34" w:rsidRPr="007A6280" w:rsidRDefault="000B6434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0B6434" w:rsidRPr="007A6280" w:rsidRDefault="000B643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E30D31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4C5C11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MARIANI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E30D31">
      <w:rPr>
        <w:lang w:val="en-GB"/>
      </w:rPr>
      <w:t>MARIANI c. ITALIE</w:t>
    </w:r>
    <w:r w:rsidRPr="008B0BD9">
      <w:rPr>
        <w:lang w:val="en-GB"/>
      </w:rPr>
      <w:tab/>
    </w:r>
    <w:r w:rsidR="00E30D31">
      <w:rPr>
        <w:rStyle w:val="Numeropagina"/>
        <w:lang w:val="en-GB"/>
      </w:rPr>
      <w:fldChar w:fldCharType="begin"/>
    </w:r>
    <w:r w:rsidR="00E30D31">
      <w:rPr>
        <w:rStyle w:val="Numeropagina"/>
        <w:lang w:val="en-GB"/>
      </w:rPr>
      <w:instrText xml:space="preserve"> PAGE </w:instrText>
    </w:r>
    <w:r w:rsidR="00E30D31">
      <w:rPr>
        <w:rStyle w:val="Numeropagina"/>
        <w:lang w:val="en-GB"/>
      </w:rPr>
      <w:fldChar w:fldCharType="separate"/>
    </w:r>
    <w:r w:rsidR="00E30D31">
      <w:rPr>
        <w:rStyle w:val="Numeropagina"/>
        <w:noProof/>
        <w:lang w:val="en-GB"/>
      </w:rPr>
      <w:t>4</w:t>
    </w:r>
    <w:r w:rsidR="00E30D3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1" w:rsidRPr="00A45145" w:rsidRDefault="00E30D3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B6A41B7" wp14:editId="7667E71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B643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E30D3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0F4E"/>
    <w:rsid w:val="000A24EB"/>
    <w:rsid w:val="000B6434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0D0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5D1F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5C11"/>
    <w:rsid w:val="004D15F3"/>
    <w:rsid w:val="004D5311"/>
    <w:rsid w:val="004D5DCC"/>
    <w:rsid w:val="004E0BF8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87014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C706E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0D31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7121B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2357-4E7C-465C-92A8-8EDE34FC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3DFC3-3FD7-4273-AEFA-904396FA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D5F35-7C4E-4C8A-8EEB-6336B7F6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30B60-4195-4953-BD37-C02D573F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2017-04-26T10:23:00Z</dcterms:created>
  <dcterms:modified xsi:type="dcterms:W3CDTF">2017-04-26T10:23:00Z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25172/10</vt:lpwstr>
  </property>
  <property fmtid="{D5CDD505-2E9C-101B-9397-08002B2CF9AE}" pid="4" name="CASEID">
    <vt:lpwstr>639585</vt:lpwstr>
  </property>
  <property fmtid="{D5CDD505-2E9C-101B-9397-08002B2CF9AE}" pid="5" name="ContentTypeId">
    <vt:lpwstr>0x010100558EB02BDB9E204AB350EDD385B68E10</vt:lpwstr>
  </property>
</Properties>
</file>